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65" w:rsidRPr="00D30C65" w:rsidRDefault="00D30C65" w:rsidP="00D30C65">
      <w:pPr>
        <w:pBdr>
          <w:bottom w:val="single" w:sz="4" w:space="3" w:color="808080"/>
        </w:pBdr>
        <w:shd w:val="clear" w:color="auto" w:fill="FFFFFF"/>
        <w:spacing w:before="192"/>
        <w:ind w:left="29" w:right="2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19"/>
          <w:szCs w:val="19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kern w:val="36"/>
          <w:sz w:val="19"/>
          <w:szCs w:val="19"/>
          <w:lang w:eastAsia="ru-RU"/>
        </w:rPr>
        <w:t>ТРЕБОВАНИЯ К ОФОРМЛЕНИЮ КАРТЫ ИННОВАЦИОННОГО ПЕДАГОГИЧЕСКОГО ОПЫТА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Карта инновационного педагогического опыта позволяет получить первоначальное представление (общий план) о направлении и сущности опыта </w:t>
      </w:r>
      <w:hyperlink r:id="rId4" w:tooltip="Инновационная деятельность" w:history="1">
        <w:r w:rsidRPr="00D30C65">
          <w:rPr>
            <w:rFonts w:ascii="Helvetica" w:eastAsia="Times New Roman" w:hAnsi="Helvetica" w:cs="Helvetica"/>
            <w:color w:val="743399"/>
            <w:sz w:val="15"/>
            <w:lang w:eastAsia="ru-RU"/>
          </w:rPr>
          <w:t>инновационной деятельности</w:t>
        </w:r>
      </w:hyperlink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 работника. В дальнейшем, в ходе защиты </w:t>
      </w:r>
      <w:hyperlink r:id="rId5" w:tooltip="Проектные работы" w:history="1">
        <w:r w:rsidRPr="00D30C65">
          <w:rPr>
            <w:rFonts w:ascii="Helvetica" w:eastAsia="Times New Roman" w:hAnsi="Helvetica" w:cs="Helvetica"/>
            <w:color w:val="743399"/>
            <w:sz w:val="15"/>
            <w:lang w:eastAsia="ru-RU"/>
          </w:rPr>
          <w:t>проектной работы</w:t>
        </w:r>
      </w:hyperlink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, это представление будет дополнено и уточнено. Оформление такой карты позволит выявить способности работника обобщать, систематизировать и анализировать результаты своей инновационной деятельности. Она также дает возможность проверить умение педагогического работника кратко и лаконично описывать функциональные признаки инновационного педагогического опыта.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Карта включает три группы параметров, по которым осмысливается инновационный опыт: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1)  Формальные, отражающие формальные характеристики педагогического работника; имеющие место в карте инновационного педагогического опыта, они не являются объектом оценивания, а дают возможность экспертам наиболее полно представить картину о содержании инновационного опыта и его носителе.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2)  </w:t>
      </w:r>
      <w:proofErr w:type="gram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Содержательные</w:t>
      </w:r>
      <w:proofErr w:type="gram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, характеризующие сущностную (смысловую) сторону инновационного педагогического опыта;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3)  Результативные, указывающие на эффективность инновационного педагогического опыта с точки зрения его апробации в реальной практике.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Объем: </w:t>
      </w: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не более 15 страниц (размер шрифта - 14 кегль, одинарный интервал, поля – 2,5 см, шрифт -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Times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New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Roman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).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1. Формальные параметры: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Объем: </w:t>
      </w: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не более 1 страницы (размер шрифта - 14 кегль, одинарный интервал, поля – 2,5 см, шрифт -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Times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New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Roman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).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1.1. Наименование педагогического опыта.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1.2. Автор – разработчик педагогического опыта.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1.3. Тип и вид представляемого образовательного учреждения.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1.4. Период формирования и функционирования педагогического опыта.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1.5. Адрес педагогического опыта.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2. Содержательные параметры: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Объем: </w:t>
      </w: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не более 9 страниц (размер шрифта - 14 кегль, одинарный интервал, поля – 2,5 см, шрифт -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Times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New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Roman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).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2.1. Актуальность педагогического опыта. Признаки актуальности (соотнесенность с </w:t>
      </w:r>
      <w:hyperlink r:id="rId6" w:tooltip="Заказ социальный" w:history="1">
        <w:r w:rsidRPr="00D30C65">
          <w:rPr>
            <w:rFonts w:ascii="Helvetica" w:eastAsia="Times New Roman" w:hAnsi="Helvetica" w:cs="Helvetica"/>
            <w:color w:val="743399"/>
            <w:sz w:val="15"/>
            <w:lang w:eastAsia="ru-RU"/>
          </w:rPr>
          <w:t>социально-образовательным заказом</w:t>
        </w:r>
      </w:hyperlink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, проводимой политикой в области в образования и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востребованность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в практике).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2.2. Содержательная форма представления педагогического опыта (программа, проект, технология, методика и т. д.). Доказательная характеристика соответствия представленного опыта той или иной форме.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2.3. Инновационная направленность педагогического опыта (новизна педагогического опыта). Соответствие педагогического опыта критериям инновации. Содержательная интерпретация этих критериев.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2.4. Методологическая база педагогического опыта. Методологические основания (подходы и принципы), положенные в основу проектирования опыта. Ключевые понятия и термины, определяющие содержательную основу опыта. Основные теории, использованные для проектирования педагогического опыта.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2.5. Педагогическая целесообразность педагогического опыта. Характеристика ключевых элементов, определяющих смысловую направленность педагогического опыта. Цели, задачи, содержание и его представление, формы, методы и средства педагогического работы. Соответствие содержательных элементов заявленного опыта требования педагогической науки.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2.6. Психологическая целесообразность педагогического опыта. Основные субъекты, вовлеченные в осуществление педагогического опыта и для которых данный опыт предназначен. Учет возрастных и индивидуальных особенностей обучающихся (воспитанников).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2.7. Социальная направленность педагогического опыта. Направленность педагогического опыта на обеспечение паритета образования и здоровья обучающихся (воспитанников). Возможность профессиональной самореализации педагогов, участвующих в реализации данного опыта.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2.8.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Воспроизводимость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педагогического опыта. Наличие материалов, подтверждающих использование данного опыта другими педагогами. Оценка возможности воспроизведения педагогического опыта. Экономическая эффективность педагогического опыта (соотнесение затрат на его воспроизведение с педагогической отдачей). Ареал воспроизведения педагогического опыта (возможность его воспроизведения на уровне образовательного учреждения, муниципальной, областной или федеральной образовательной системы).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2.9. Ресурсное обеспечение педагогического опыта. Характеристика минимальных требований к кадровому, учебно-методическому, материально-техническому и т. д. Обеспечению.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3. Результативные параметры: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Объем: </w:t>
      </w: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не более 5 страниц (размер шрифта - 14 кегль, одинарный интервал, поля – 2,5 см, шрифт -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Times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New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Roman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).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lastRenderedPageBreak/>
        <w:t xml:space="preserve">3.1. Эффективность педагогического опыта с точки зрения полученных результатов. Направленность данного опыта на улучшение, существенное обогащение, кардинальное преобразование существующей образовательной ситуации. Обоснование эффективности инновационного педагогического опыта с точки зрения возможности формирования у обучающихся (воспитанников) предметных,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метапредметных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и личностных результатов.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3.2. Распространение педагогического опыта. Наличие материалов, подтверждающих обобщение и распространение педагогического опыта в рамках профессионального сообщества (открытые учебные занятия, мастер-классы, выступления на семинарах, презентациях, конференциях, </w:t>
      </w:r>
      <w:hyperlink r:id="rId7" w:tooltip="Круглые столы" w:history="1">
        <w:r w:rsidRPr="00D30C65">
          <w:rPr>
            <w:rFonts w:ascii="Helvetica" w:eastAsia="Times New Roman" w:hAnsi="Helvetica" w:cs="Helvetica"/>
            <w:color w:val="743399"/>
            <w:sz w:val="15"/>
            <w:lang w:eastAsia="ru-RU"/>
          </w:rPr>
          <w:t>круглых столах</w:t>
        </w:r>
      </w:hyperlink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, курсах повышения квалификации, в рамках которых демонстрировался данный педагогический опыт), а также признание опыта педагогическим сообществом (наличие призовых ме</w:t>
      </w:r>
      <w:proofErr w:type="gram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ст в </w:t>
      </w:r>
      <w:hyperlink r:id="rId8" w:tooltip="Конкурсы профессиональные" w:history="1">
        <w:r w:rsidRPr="00D30C65">
          <w:rPr>
            <w:rFonts w:ascii="Helvetica" w:eastAsia="Times New Roman" w:hAnsi="Helvetica" w:cs="Helvetica"/>
            <w:color w:val="743399"/>
            <w:sz w:val="15"/>
            <w:lang w:eastAsia="ru-RU"/>
          </w:rPr>
          <w:t>пр</w:t>
        </w:r>
        <w:proofErr w:type="gramEnd"/>
        <w:r w:rsidRPr="00D30C65">
          <w:rPr>
            <w:rFonts w:ascii="Helvetica" w:eastAsia="Times New Roman" w:hAnsi="Helvetica" w:cs="Helvetica"/>
            <w:color w:val="743399"/>
            <w:sz w:val="15"/>
            <w:lang w:eastAsia="ru-RU"/>
          </w:rPr>
          <w:t>офессиональных конкурсах</w:t>
        </w:r>
      </w:hyperlink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).</w:t>
      </w:r>
    </w:p>
    <w:p w:rsidR="00D30C65" w:rsidRPr="00D30C65" w:rsidRDefault="00D30C65" w:rsidP="00D30C65">
      <w:p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3.3. Стабильность педагогической эффективности заявленного опыта. Обоснование стабильности показателей, характеризующих эффективность педагогического опыта на протяжении определенного количества лет. </w:t>
      </w:r>
      <w:proofErr w:type="gram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Доказательство </w:t>
      </w:r>
      <w:proofErr w:type="spellStart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неслучайности</w:t>
      </w:r>
      <w:proofErr w:type="spellEnd"/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влияние педагогического опыта на качество образования в образовательном учреждении (процент обучающихся (воспитанников), освоивших </w:t>
      </w:r>
      <w:hyperlink r:id="rId9" w:tooltip="Образовательные программы" w:history="1">
        <w:r w:rsidRPr="00D30C65">
          <w:rPr>
            <w:rFonts w:ascii="Helvetica" w:eastAsia="Times New Roman" w:hAnsi="Helvetica" w:cs="Helvetica"/>
            <w:color w:val="743399"/>
            <w:sz w:val="15"/>
            <w:lang w:eastAsia="ru-RU"/>
          </w:rPr>
          <w:t>образовательные программы</w:t>
        </w:r>
      </w:hyperlink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 (% от количества обучающихся (воспитанников), обучаемых педагогом, рейтинг учащихся по результатам государственной (итоговой) аттестации и единого регионального экзамена и пр.)</w:t>
      </w:r>
      <w:proofErr w:type="gramEnd"/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3.4. Репрезентативность внедрения педагогического опыта. Количественные показатели участия педагогов и обучающихся (воспитанников) в осуществлении педагогического опыта.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3.5. Публикация педагогического опыта в печати. Отражение педагогического опыта в научно-методических журналах, материалах методических и научно-практических конференции, сборниках и монографиях.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Примечание: за достоверность данных работодатель несёт ответственность.</w:t>
      </w:r>
    </w:p>
    <w:p w:rsidR="00D30C65" w:rsidRPr="00D30C65" w:rsidRDefault="00D30C65" w:rsidP="00D30C65">
      <w:pPr>
        <w:shd w:val="clear" w:color="auto" w:fill="FFFFFF"/>
        <w:spacing w:before="240" w:after="288"/>
        <w:textAlignment w:val="baseline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D30C6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Подпись работодателя</w:t>
      </w:r>
    </w:p>
    <w:p w:rsidR="00626F91" w:rsidRDefault="00626F91"/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D30C65"/>
    <w:rsid w:val="005010C9"/>
    <w:rsid w:val="00626F91"/>
    <w:rsid w:val="00D3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1"/>
  </w:style>
  <w:style w:type="paragraph" w:styleId="1">
    <w:name w:val="heading 1"/>
    <w:basedOn w:val="a"/>
    <w:link w:val="10"/>
    <w:uiPriority w:val="9"/>
    <w:qFormat/>
    <w:rsid w:val="00D30C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kursi_professionalmz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ruglie_sto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kaz_sotcialmzni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roektnie_rabo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innovatcionnaya_deyatelmznostmz/" TargetMode="External"/><Relationship Id="rId9" Type="http://schemas.openxmlformats.org/officeDocument/2006/relationships/hyperlink" Target="https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2019-07-28T08:23:00Z</dcterms:created>
  <dcterms:modified xsi:type="dcterms:W3CDTF">2019-07-28T08:24:00Z</dcterms:modified>
</cp:coreProperties>
</file>